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CEBE" w14:textId="5E98545B" w:rsidR="003E0AC9" w:rsidRPr="00935217" w:rsidRDefault="003B0455">
      <w:pPr>
        <w:rPr>
          <w:b/>
          <w:bCs/>
        </w:rPr>
      </w:pPr>
      <w:r w:rsidRPr="00935217">
        <w:rPr>
          <w:b/>
          <w:bCs/>
        </w:rPr>
        <w:t>EU's budget 2001-2007</w:t>
      </w:r>
    </w:p>
    <w:p w14:paraId="3A27C92D" w14:textId="5D343F71" w:rsidR="003B0455" w:rsidRPr="003B0455" w:rsidRDefault="003B0455" w:rsidP="00A25D72">
      <w:pPr>
        <w:pStyle w:val="Listeafsnit"/>
        <w:numPr>
          <w:ilvl w:val="0"/>
          <w:numId w:val="1"/>
        </w:numPr>
        <w:spacing w:line="240" w:lineRule="auto"/>
        <w:ind w:left="714" w:hanging="357"/>
      </w:pPr>
      <w:r w:rsidRPr="003B0455">
        <w:rPr>
          <w:b/>
          <w:bCs/>
        </w:rPr>
        <w:t>Det indre marked, innovation og det digitale område</w:t>
      </w:r>
      <w:r>
        <w:br/>
      </w:r>
      <w:r w:rsidRPr="00A25D72">
        <w:rPr>
          <w:rFonts w:ascii="Arial" w:hAnsi="Arial"/>
          <w:sz w:val="23"/>
          <w:szCs w:val="23"/>
        </w:rPr>
        <w:t>Fremme af forskning, innovation og digital omstilling, europæiske strategiske investeringer, tiltag til fordel for det indre marked og virksomheders konkurrenceevne.</w:t>
      </w:r>
      <w:r w:rsidRPr="00A25D72">
        <w:rPr>
          <w:rFonts w:ascii="Arial" w:hAnsi="Arial"/>
          <w:sz w:val="23"/>
          <w:szCs w:val="23"/>
        </w:rPr>
        <w:br/>
        <w:t>Under dette udgiftsområde vil der fortsat blive ydet støtte til storstilede projekter i det nye europæiske rumprogram og den internationale termonukleare forsøgsreaktor</w:t>
      </w:r>
      <w:r w:rsidRPr="00A25D72">
        <w:rPr>
          <w:rFonts w:ascii="Arial" w:hAnsi="Arial"/>
          <w:sz w:val="23"/>
          <w:szCs w:val="23"/>
        </w:rPr>
        <w:br/>
      </w:r>
    </w:p>
    <w:p w14:paraId="464BCCC5" w14:textId="77777777" w:rsidR="00A25D72" w:rsidRPr="00A25D72" w:rsidRDefault="003B0455" w:rsidP="00A25D72">
      <w:pPr>
        <w:pStyle w:val="Brdtekst"/>
        <w:numPr>
          <w:ilvl w:val="0"/>
          <w:numId w:val="1"/>
        </w:numPr>
        <w:kinsoku w:val="0"/>
        <w:overflowPunct w:val="0"/>
        <w:spacing w:line="209" w:lineRule="exact"/>
        <w:rPr>
          <w:rFonts w:ascii="Arial" w:hAnsi="Arial" w:cstheme="minorBidi"/>
          <w:sz w:val="23"/>
          <w:szCs w:val="23"/>
        </w:rPr>
      </w:pPr>
      <w:r w:rsidRPr="00A25D72">
        <w:rPr>
          <w:b/>
          <w:bCs/>
          <w:sz w:val="23"/>
          <w:szCs w:val="23"/>
        </w:rPr>
        <w:t>Samhørighed, modstandsdygtighed og værdier</w:t>
      </w:r>
      <w:r w:rsidRPr="00A25D72">
        <w:rPr>
          <w:b/>
          <w:bCs/>
          <w:sz w:val="23"/>
          <w:szCs w:val="23"/>
        </w:rPr>
        <w:br/>
      </w:r>
      <w:r w:rsidRPr="00A25D72">
        <w:rPr>
          <w:rFonts w:ascii="Arial" w:hAnsi="Arial" w:cstheme="minorBidi"/>
          <w:sz w:val="23"/>
          <w:szCs w:val="23"/>
        </w:rPr>
        <w:t xml:space="preserve">Formålet med dette udgiftsområde er at bidrage til EU's merværdi ved at fremme konvergens, støtte investeringer, jobskabelse og vækst, hjælpe med at mindske økonomiske, sociale og territoriale forskelle i medlemsstaterne og i hele Europa. </w:t>
      </w:r>
      <w:bookmarkStart w:id="0" w:name="35._Forpligtelsesbevillingerne_for_dette"/>
      <w:bookmarkStart w:id="1" w:name="34._Formålet_med_dette_udgiftsområde_er_"/>
      <w:bookmarkEnd w:id="0"/>
      <w:bookmarkEnd w:id="1"/>
      <w:r w:rsidRPr="00A25D72">
        <w:rPr>
          <w:rFonts w:ascii="Arial" w:hAnsi="Arial" w:cstheme="minorBidi"/>
          <w:sz w:val="23"/>
          <w:szCs w:val="23"/>
        </w:rPr>
        <w:t>Under dette udgiftsområde investeres der i regional udvikling,</w:t>
      </w:r>
    </w:p>
    <w:p w14:paraId="4DF907D0" w14:textId="7E4E18BA" w:rsidR="00A25D72" w:rsidRPr="00A25D72" w:rsidRDefault="00A25D72" w:rsidP="00A25D72">
      <w:pPr>
        <w:pStyle w:val="Brdtekst"/>
        <w:numPr>
          <w:ilvl w:val="0"/>
          <w:numId w:val="1"/>
        </w:numPr>
        <w:kinsoku w:val="0"/>
        <w:overflowPunct w:val="0"/>
        <w:spacing w:before="137" w:line="240" w:lineRule="auto"/>
        <w:ind w:left="714" w:right="62" w:hanging="357"/>
        <w:rPr>
          <w:rFonts w:ascii="Arial" w:hAnsi="Arial" w:cstheme="minorBidi"/>
          <w:sz w:val="23"/>
          <w:szCs w:val="23"/>
        </w:rPr>
      </w:pPr>
      <w:r w:rsidRPr="00A25D72">
        <w:rPr>
          <w:b/>
          <w:bCs/>
        </w:rPr>
        <w:t>Naturressourcer og miljø</w:t>
      </w:r>
      <w:r w:rsidRPr="00A25D72">
        <w:rPr>
          <w:b/>
          <w:bCs/>
        </w:rPr>
        <w:br/>
      </w:r>
      <w:r w:rsidRPr="00A25D72">
        <w:rPr>
          <w:rFonts w:ascii="Arial" w:hAnsi="Arial" w:cstheme="minorBidi"/>
          <w:sz w:val="23"/>
          <w:szCs w:val="23"/>
        </w:rPr>
        <w:t xml:space="preserve">Fokuserer på </w:t>
      </w:r>
      <w:bookmarkStart w:id="2" w:name="85._Forpligtelsesbevillingerne_til_dette"/>
      <w:bookmarkStart w:id="3" w:name="UDGIFTSOMRÅDE_3_–_NATURRESSOURCER_OG_MIL"/>
      <w:bookmarkStart w:id="4" w:name="84._Finansiering_under_dette_udgiftsområ"/>
      <w:bookmarkEnd w:id="2"/>
      <w:bookmarkEnd w:id="3"/>
      <w:bookmarkEnd w:id="4"/>
      <w:r w:rsidRPr="00A25D72">
        <w:rPr>
          <w:rFonts w:ascii="Arial" w:hAnsi="Arial" w:cstheme="minorBidi"/>
          <w:sz w:val="23"/>
          <w:szCs w:val="23"/>
        </w:rPr>
        <w:t>landbrugs-, hav- og fiskeripolitik og ved at styrke klimaindsatsen og fremme miljøbeskyttelse og beskyttelse af biodiversiteten. Integreringen af klima i hele budgettet og øget integrering af miljømålsætninger giver dette udgiftsområde en central rolle i at nå det ambitiøse mål på mindst 30 % af EU's udgifter, der bidrager til klimamålsætninger.</w:t>
      </w:r>
      <w:r>
        <w:rPr>
          <w:rFonts w:ascii="Arial" w:hAnsi="Arial" w:cstheme="minorBidi"/>
          <w:sz w:val="23"/>
          <w:szCs w:val="23"/>
        </w:rPr>
        <w:br/>
      </w:r>
    </w:p>
    <w:p w14:paraId="3872B927" w14:textId="613B523E" w:rsidR="003B0455" w:rsidRDefault="00B871B6" w:rsidP="003B0455">
      <w:pPr>
        <w:pStyle w:val="Listeafsnit"/>
        <w:numPr>
          <w:ilvl w:val="0"/>
          <w:numId w:val="1"/>
        </w:numPr>
      </w:pPr>
      <w:r>
        <w:rPr>
          <w:b/>
          <w:bCs/>
        </w:rPr>
        <w:t>M</w:t>
      </w:r>
      <w:r w:rsidRPr="00B871B6">
        <w:rPr>
          <w:rFonts w:ascii="Times New Roman" w:hAnsi="Times New Roman" w:cs="Times New Roman"/>
          <w:b/>
          <w:bCs/>
          <w:sz w:val="24"/>
          <w:szCs w:val="24"/>
        </w:rPr>
        <w:t>igration og grænseforvaltning</w:t>
      </w:r>
      <w:r w:rsidRPr="00B871B6">
        <w:rPr>
          <w:rFonts w:ascii="Times New Roman" w:hAnsi="Times New Roman" w:cs="Times New Roman"/>
          <w:b/>
          <w:bCs/>
          <w:sz w:val="24"/>
          <w:szCs w:val="24"/>
        </w:rPr>
        <w:br/>
      </w:r>
      <w:r w:rsidRPr="00B871B6">
        <w:rPr>
          <w:rFonts w:ascii="Arial" w:hAnsi="Arial"/>
          <w:sz w:val="23"/>
          <w:szCs w:val="23"/>
        </w:rPr>
        <w:t>Dette udgiftsområde finansierer foranstaltninger vedrørende forvaltning af de ydre grænser, migration og asyl.  Asyl- og Migrationsfonden vil støtte medlemsstaternes arbejde med at modtage asylansøgere og gennemføre integrationsforanstaltninger. Den vil også støtte udviklingen af en fælles asyl- og migrationspolitik og fremme en effektiv ekstern migrationsstyring, herunder effektive tilbagesendelser og et styrket samarbejde med tredjelande, navnlig tredjelande, der grænser op til EU eller ligger tæt på EU's grænser.</w:t>
      </w:r>
      <w:r w:rsidRPr="00B871B6">
        <w:rPr>
          <w:rFonts w:ascii="Arial" w:hAnsi="Arial"/>
          <w:sz w:val="23"/>
          <w:szCs w:val="23"/>
        </w:rPr>
        <w:br/>
      </w:r>
      <w:r w:rsidR="009F2548">
        <w:t xml:space="preserve"> </w:t>
      </w:r>
    </w:p>
    <w:p w14:paraId="3BCF0F2E" w14:textId="295CD245" w:rsidR="009F2548" w:rsidRDefault="009F2548" w:rsidP="003B0455">
      <w:pPr>
        <w:pStyle w:val="Listeafsnit"/>
        <w:numPr>
          <w:ilvl w:val="0"/>
          <w:numId w:val="1"/>
        </w:numPr>
        <w:rPr>
          <w:rFonts w:ascii="Arial" w:hAnsi="Arial"/>
          <w:sz w:val="23"/>
          <w:szCs w:val="23"/>
        </w:rPr>
      </w:pPr>
      <w:r w:rsidRPr="009F2548">
        <w:rPr>
          <w:rFonts w:ascii="Times New Roman" w:hAnsi="Times New Roman" w:cs="Times New Roman"/>
          <w:b/>
          <w:bCs/>
          <w:sz w:val="24"/>
          <w:szCs w:val="24"/>
        </w:rPr>
        <w:t>Sikkerhed og forsvar</w:t>
      </w:r>
      <w:r>
        <w:rPr>
          <w:rFonts w:ascii="Times New Roman" w:hAnsi="Times New Roman" w:cs="Times New Roman"/>
          <w:b/>
          <w:bCs/>
          <w:sz w:val="24"/>
          <w:szCs w:val="24"/>
        </w:rPr>
        <w:br/>
      </w:r>
      <w:r w:rsidRPr="009F2548">
        <w:rPr>
          <w:rFonts w:ascii="Arial" w:hAnsi="Arial"/>
          <w:sz w:val="23"/>
          <w:szCs w:val="23"/>
        </w:rPr>
        <w:t>Det omfatter foranstaltninger vedrørende intern sikkerhed, kriserespons og nedlæggelse af  atomkraftværker samt på forsvarsområdet.  Finansiering fra dette udgiftsområde vil støtte Fonden for Intern Sikkerhed, som vil bidrage til at sikre et højt sikkerhedsniveau i Unionen, navnlig ved at forebygge og bekæmpe terrorisme og radikalisering, grov og organiseret kriminalitet og cyberkriminalitet samt ved at hjælpe og beskytte ofre for kriminalitet. Det vil også finansiere foranstaltninger, der er målrettet ekstern migrationsstyring i forbindelse med bekæmpelse af ulovlig migration og menneskehandel.</w:t>
      </w:r>
      <w:r>
        <w:rPr>
          <w:rFonts w:ascii="Arial" w:hAnsi="Arial"/>
          <w:sz w:val="23"/>
          <w:szCs w:val="23"/>
        </w:rPr>
        <w:br/>
      </w:r>
    </w:p>
    <w:p w14:paraId="4FDB4116" w14:textId="1090434E" w:rsidR="009F2548" w:rsidRDefault="009F2548" w:rsidP="003B0455">
      <w:pPr>
        <w:pStyle w:val="Listeafsnit"/>
        <w:numPr>
          <w:ilvl w:val="0"/>
          <w:numId w:val="1"/>
        </w:numPr>
        <w:rPr>
          <w:rFonts w:ascii="Arial" w:hAnsi="Arial"/>
          <w:sz w:val="23"/>
          <w:szCs w:val="23"/>
        </w:rPr>
      </w:pPr>
      <w:r>
        <w:rPr>
          <w:rFonts w:ascii="Arial" w:hAnsi="Arial"/>
          <w:b/>
          <w:bCs/>
          <w:sz w:val="23"/>
          <w:szCs w:val="23"/>
        </w:rPr>
        <w:t>Naboområder og verden</w:t>
      </w:r>
      <w:r>
        <w:rPr>
          <w:rFonts w:ascii="Arial" w:hAnsi="Arial"/>
          <w:b/>
          <w:bCs/>
          <w:sz w:val="23"/>
          <w:szCs w:val="23"/>
        </w:rPr>
        <w:br/>
      </w:r>
      <w:r w:rsidRPr="00935217">
        <w:rPr>
          <w:rFonts w:ascii="Arial" w:hAnsi="Arial"/>
          <w:sz w:val="23"/>
          <w:szCs w:val="23"/>
        </w:rPr>
        <w:t>Dette udgiftsområde finansierer Unionens optræden udadtil og bistand til lande, der forbereder sig på at tiltræde Unionen.</w:t>
      </w:r>
      <w:r w:rsidR="00935217" w:rsidRPr="00935217">
        <w:rPr>
          <w:rFonts w:ascii="Arial" w:hAnsi="Arial"/>
          <w:sz w:val="23"/>
          <w:szCs w:val="23"/>
        </w:rPr>
        <w:t xml:space="preserve">  Udgifter til Afrika syd for Sahara, Vestindien og Stillehavsområdet, som i øjeblikket finansieres via den nuværende Europæiske Udviklingsfond, vil blive medtaget under dette udgiftsområde.</w:t>
      </w:r>
      <w:r w:rsidR="00935217">
        <w:rPr>
          <w:rFonts w:ascii="Arial" w:hAnsi="Arial"/>
          <w:sz w:val="23"/>
          <w:szCs w:val="23"/>
        </w:rPr>
        <w:br/>
      </w:r>
    </w:p>
    <w:p w14:paraId="34BF7923" w14:textId="77777777" w:rsidR="00341AF7" w:rsidRPr="00341AF7" w:rsidRDefault="00935217" w:rsidP="003B0455">
      <w:pPr>
        <w:pStyle w:val="Listeafsnit"/>
        <w:numPr>
          <w:ilvl w:val="0"/>
          <w:numId w:val="1"/>
        </w:numPr>
        <w:rPr>
          <w:rFonts w:ascii="Arial" w:hAnsi="Arial"/>
          <w:b/>
          <w:bCs/>
          <w:sz w:val="23"/>
          <w:szCs w:val="23"/>
        </w:rPr>
      </w:pPr>
      <w:r w:rsidRPr="00935217">
        <w:rPr>
          <w:rFonts w:ascii="Arial" w:hAnsi="Arial"/>
          <w:b/>
          <w:bCs/>
          <w:sz w:val="23"/>
          <w:szCs w:val="23"/>
        </w:rPr>
        <w:t>Europæisk offentlig forvaltning</w:t>
      </w:r>
      <w:r>
        <w:rPr>
          <w:rFonts w:ascii="Arial" w:hAnsi="Arial"/>
          <w:b/>
          <w:bCs/>
          <w:sz w:val="23"/>
          <w:szCs w:val="23"/>
        </w:rPr>
        <w:br/>
      </w:r>
      <w:r w:rsidRPr="00935217">
        <w:rPr>
          <w:rFonts w:ascii="Arial" w:hAnsi="Arial"/>
          <w:sz w:val="23"/>
          <w:szCs w:val="23"/>
        </w:rPr>
        <w:t>Det tilstræbes at rekruttere på det bredest mulige geografiske grundlag.</w:t>
      </w:r>
    </w:p>
    <w:p w14:paraId="0BDC6ABB" w14:textId="77777777" w:rsidR="00341AF7" w:rsidRDefault="00341AF7" w:rsidP="00341AF7">
      <w:pPr>
        <w:shd w:val="clear" w:color="auto" w:fill="FFFFFF"/>
        <w:spacing w:after="100" w:afterAutospacing="1" w:line="240" w:lineRule="auto"/>
        <w:rPr>
          <w:rFonts w:ascii="Helvetica" w:eastAsia="Times New Roman" w:hAnsi="Helvetica" w:cs="Helvetica"/>
          <w:color w:val="1E1E1F"/>
          <w:sz w:val="21"/>
          <w:szCs w:val="21"/>
          <w:lang w:eastAsia="da-DK"/>
        </w:rPr>
      </w:pPr>
    </w:p>
    <w:p w14:paraId="2330AE05" w14:textId="3F69DA62" w:rsidR="00341AF7" w:rsidRPr="00341AF7" w:rsidRDefault="00341AF7" w:rsidP="00341AF7">
      <w:pPr>
        <w:shd w:val="clear" w:color="auto" w:fill="FFFFFF"/>
        <w:spacing w:after="100" w:afterAutospacing="1" w:line="240" w:lineRule="auto"/>
        <w:rPr>
          <w:rFonts w:ascii="Helvetica" w:eastAsia="Times New Roman" w:hAnsi="Helvetica" w:cs="Helvetica"/>
          <w:b/>
          <w:bCs/>
          <w:color w:val="1E1E1F"/>
          <w:sz w:val="21"/>
          <w:szCs w:val="21"/>
          <w:lang w:eastAsia="da-DK"/>
        </w:rPr>
      </w:pPr>
      <w:r>
        <w:rPr>
          <w:rFonts w:ascii="Helvetica" w:eastAsia="Times New Roman" w:hAnsi="Helvetica" w:cs="Helvetica"/>
          <w:b/>
          <w:bCs/>
          <w:color w:val="1E1E1F"/>
          <w:sz w:val="21"/>
          <w:szCs w:val="21"/>
          <w:lang w:eastAsia="da-DK"/>
        </w:rPr>
        <w:lastRenderedPageBreak/>
        <w:t>Gennemførelse af budgettet</w:t>
      </w:r>
    </w:p>
    <w:p w14:paraId="3B7DB564" w14:textId="77777777" w:rsidR="00341AF7" w:rsidRPr="00341AF7" w:rsidRDefault="00341AF7" w:rsidP="00341AF7">
      <w:pPr>
        <w:shd w:val="clear" w:color="auto" w:fill="FFFFFF"/>
        <w:spacing w:after="100" w:afterAutospacing="1" w:line="240" w:lineRule="auto"/>
        <w:rPr>
          <w:rFonts w:ascii="Helvetica" w:eastAsia="Times New Roman" w:hAnsi="Helvetica" w:cs="Helvetica"/>
          <w:color w:val="1E1E1F"/>
          <w:sz w:val="21"/>
          <w:szCs w:val="21"/>
          <w:lang w:eastAsia="da-DK"/>
        </w:rPr>
      </w:pPr>
      <w:r w:rsidRPr="00341AF7">
        <w:rPr>
          <w:rFonts w:ascii="Helvetica" w:eastAsia="Times New Roman" w:hAnsi="Helvetica" w:cs="Helvetica"/>
          <w:color w:val="1E1E1F"/>
          <w:sz w:val="21"/>
          <w:szCs w:val="21"/>
          <w:lang w:eastAsia="da-DK"/>
        </w:rPr>
        <w:t>Kommissionen kan gennemføre budgettet på en af følgende måder:</w:t>
      </w:r>
    </w:p>
    <w:p w14:paraId="60A49B10" w14:textId="77777777" w:rsidR="00341AF7" w:rsidRPr="00341AF7" w:rsidRDefault="00341AF7" w:rsidP="00341AF7">
      <w:pPr>
        <w:numPr>
          <w:ilvl w:val="0"/>
          <w:numId w:val="2"/>
        </w:numPr>
        <w:shd w:val="clear" w:color="auto" w:fill="FFFFFF"/>
        <w:spacing w:before="100" w:beforeAutospacing="1" w:after="100" w:afterAutospacing="1" w:line="240" w:lineRule="auto"/>
        <w:rPr>
          <w:rFonts w:ascii="Helvetica" w:eastAsia="Times New Roman" w:hAnsi="Helvetica" w:cs="Helvetica"/>
          <w:color w:val="1E1E1F"/>
          <w:sz w:val="21"/>
          <w:szCs w:val="21"/>
          <w:lang w:eastAsia="da-DK"/>
        </w:rPr>
      </w:pPr>
      <w:r w:rsidRPr="00341AF7">
        <w:rPr>
          <w:rFonts w:ascii="Helvetica" w:eastAsia="Times New Roman" w:hAnsi="Helvetica" w:cs="Helvetica"/>
          <w:color w:val="1E1E1F"/>
          <w:sz w:val="21"/>
          <w:szCs w:val="21"/>
          <w:lang w:eastAsia="da-DK"/>
        </w:rPr>
        <w:t>direkte (»direkte forvaltning«) via dens tjenestegrene eller gennem forvaltningsorganer</w:t>
      </w:r>
    </w:p>
    <w:p w14:paraId="25DD9792" w14:textId="77777777" w:rsidR="00341AF7" w:rsidRPr="00341AF7" w:rsidRDefault="00341AF7" w:rsidP="00341AF7">
      <w:pPr>
        <w:numPr>
          <w:ilvl w:val="0"/>
          <w:numId w:val="2"/>
        </w:numPr>
        <w:shd w:val="clear" w:color="auto" w:fill="FFFFFF"/>
        <w:spacing w:before="100" w:beforeAutospacing="1" w:after="100" w:afterAutospacing="1" w:line="240" w:lineRule="auto"/>
        <w:rPr>
          <w:rFonts w:ascii="Helvetica" w:eastAsia="Times New Roman" w:hAnsi="Helvetica" w:cs="Helvetica"/>
          <w:color w:val="1E1E1F"/>
          <w:sz w:val="21"/>
          <w:szCs w:val="21"/>
          <w:lang w:eastAsia="da-DK"/>
        </w:rPr>
      </w:pPr>
      <w:r w:rsidRPr="00341AF7">
        <w:rPr>
          <w:rFonts w:ascii="Helvetica" w:eastAsia="Times New Roman" w:hAnsi="Helvetica" w:cs="Helvetica"/>
          <w:color w:val="1E1E1F"/>
          <w:sz w:val="21"/>
          <w:szCs w:val="21"/>
          <w:lang w:eastAsia="da-DK"/>
        </w:rPr>
        <w:t>sammen med medlemsstaterne (»delt forvaltning«)</w:t>
      </w:r>
    </w:p>
    <w:p w14:paraId="410C7EF3" w14:textId="77777777" w:rsidR="00341AF7" w:rsidRPr="00341AF7" w:rsidRDefault="00341AF7" w:rsidP="00341AF7">
      <w:pPr>
        <w:numPr>
          <w:ilvl w:val="0"/>
          <w:numId w:val="2"/>
        </w:numPr>
        <w:shd w:val="clear" w:color="auto" w:fill="FFFFFF"/>
        <w:spacing w:before="100" w:beforeAutospacing="1" w:after="100" w:afterAutospacing="1" w:line="240" w:lineRule="auto"/>
        <w:rPr>
          <w:rFonts w:ascii="Helvetica" w:eastAsia="Times New Roman" w:hAnsi="Helvetica" w:cs="Helvetica"/>
          <w:color w:val="1E1E1F"/>
          <w:sz w:val="21"/>
          <w:szCs w:val="21"/>
          <w:lang w:eastAsia="da-DK"/>
        </w:rPr>
      </w:pPr>
      <w:r w:rsidRPr="00341AF7">
        <w:rPr>
          <w:rFonts w:ascii="Helvetica" w:eastAsia="Times New Roman" w:hAnsi="Helvetica" w:cs="Helvetica"/>
          <w:color w:val="1E1E1F"/>
          <w:sz w:val="21"/>
          <w:szCs w:val="21"/>
          <w:lang w:eastAsia="da-DK"/>
        </w:rPr>
        <w:t>indirekte (»indirekte forvaltning«) ved at overdrage budgetgennemførelsesopgaver til enheder og personer, f.eks. tredjelande, internationale organisationer og andre.</w:t>
      </w:r>
    </w:p>
    <w:p w14:paraId="176F11FD" w14:textId="77777777" w:rsidR="00341AF7" w:rsidRPr="00341AF7" w:rsidRDefault="00341AF7" w:rsidP="00341AF7">
      <w:pPr>
        <w:shd w:val="clear" w:color="auto" w:fill="FFFFFF"/>
        <w:spacing w:after="100" w:afterAutospacing="1" w:line="240" w:lineRule="auto"/>
        <w:rPr>
          <w:rFonts w:ascii="Helvetica" w:eastAsia="Times New Roman" w:hAnsi="Helvetica" w:cs="Helvetica"/>
          <w:color w:val="1E1E1F"/>
          <w:sz w:val="21"/>
          <w:szCs w:val="21"/>
          <w:lang w:eastAsia="da-DK"/>
        </w:rPr>
      </w:pPr>
      <w:r w:rsidRPr="00341AF7">
        <w:rPr>
          <w:rFonts w:ascii="Helvetica" w:eastAsia="Times New Roman" w:hAnsi="Helvetica" w:cs="Helvetica"/>
          <w:color w:val="1E1E1F"/>
          <w:sz w:val="21"/>
          <w:szCs w:val="21"/>
          <w:lang w:eastAsia="da-DK"/>
        </w:rPr>
        <w:t>I praksis gennemføres ca. 76 % af budgettet ved »delt forvaltning« (hvor medlemsstaterne fordeler midlerne og forvalter udgifterne), 22 % ved »direkte forvaltning« af Kommissionen eller dens forvaltningsorganer og de resterende 2 % ved »indirekte forvaltning«</w:t>
      </w:r>
      <w:bookmarkStart w:id="5" w:name="_ftnref3"/>
      <w:r w:rsidRPr="00341AF7">
        <w:rPr>
          <w:rFonts w:ascii="Helvetica" w:eastAsia="Times New Roman" w:hAnsi="Helvetica" w:cs="Helvetica"/>
          <w:color w:val="1E1E1F"/>
          <w:sz w:val="21"/>
          <w:szCs w:val="21"/>
          <w:lang w:eastAsia="da-DK"/>
        </w:rPr>
        <w:fldChar w:fldCharType="begin"/>
      </w:r>
      <w:r w:rsidRPr="00341AF7">
        <w:rPr>
          <w:rFonts w:ascii="Helvetica" w:eastAsia="Times New Roman" w:hAnsi="Helvetica" w:cs="Helvetica"/>
          <w:color w:val="1E1E1F"/>
          <w:sz w:val="21"/>
          <w:szCs w:val="21"/>
          <w:lang w:eastAsia="da-DK"/>
        </w:rPr>
        <w:instrText xml:space="preserve"> HYPERLINK "https://www.europarl.europa.eu/factsheets/da/sheet/30/gennemf%C3%B8relse-af-budgettet" \l "_ftn3" </w:instrText>
      </w:r>
      <w:r w:rsidRPr="00341AF7">
        <w:rPr>
          <w:rFonts w:ascii="Helvetica" w:eastAsia="Times New Roman" w:hAnsi="Helvetica" w:cs="Helvetica"/>
          <w:color w:val="1E1E1F"/>
          <w:sz w:val="21"/>
          <w:szCs w:val="21"/>
          <w:lang w:eastAsia="da-DK"/>
        </w:rPr>
        <w:fldChar w:fldCharType="separate"/>
      </w:r>
      <w:r w:rsidRPr="00341AF7">
        <w:rPr>
          <w:rFonts w:ascii="Helvetica" w:eastAsia="Times New Roman" w:hAnsi="Helvetica" w:cs="Helvetica"/>
          <w:color w:val="3C77BD"/>
          <w:sz w:val="18"/>
          <w:szCs w:val="18"/>
          <w:u w:val="single"/>
          <w:lang w:eastAsia="da-DK"/>
        </w:rPr>
        <w:t>[3]</w:t>
      </w:r>
      <w:r w:rsidRPr="00341AF7">
        <w:rPr>
          <w:rFonts w:ascii="Helvetica" w:eastAsia="Times New Roman" w:hAnsi="Helvetica" w:cs="Helvetica"/>
          <w:color w:val="1E1E1F"/>
          <w:sz w:val="21"/>
          <w:szCs w:val="21"/>
          <w:lang w:eastAsia="da-DK"/>
        </w:rPr>
        <w:fldChar w:fldCharType="end"/>
      </w:r>
      <w:bookmarkEnd w:id="5"/>
      <w:r w:rsidRPr="00341AF7">
        <w:rPr>
          <w:rFonts w:ascii="Helvetica" w:eastAsia="Times New Roman" w:hAnsi="Helvetica" w:cs="Helvetica"/>
          <w:color w:val="1E1E1F"/>
          <w:sz w:val="21"/>
          <w:szCs w:val="21"/>
          <w:lang w:eastAsia="da-DK"/>
        </w:rPr>
        <w:t>.</w:t>
      </w:r>
    </w:p>
    <w:p w14:paraId="6547DA58" w14:textId="429DA493" w:rsidR="00935217" w:rsidRPr="00935217" w:rsidRDefault="00935217" w:rsidP="00341AF7">
      <w:pPr>
        <w:pStyle w:val="Listeafsnit"/>
        <w:rPr>
          <w:rFonts w:ascii="Arial" w:hAnsi="Arial"/>
          <w:b/>
          <w:bCs/>
          <w:sz w:val="23"/>
          <w:szCs w:val="23"/>
        </w:rPr>
      </w:pPr>
      <w:r w:rsidRPr="00935217">
        <w:rPr>
          <w:rFonts w:ascii="Arial" w:hAnsi="Arial"/>
          <w:b/>
          <w:bCs/>
          <w:sz w:val="23"/>
          <w:szCs w:val="23"/>
        </w:rPr>
        <w:br/>
      </w:r>
    </w:p>
    <w:sectPr w:rsidR="00935217" w:rsidRPr="009352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740A"/>
    <w:multiLevelType w:val="hybridMultilevel"/>
    <w:tmpl w:val="53DC72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F9D3334"/>
    <w:multiLevelType w:val="multilevel"/>
    <w:tmpl w:val="1E02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55"/>
    <w:rsid w:val="000E3AF3"/>
    <w:rsid w:val="00341AF7"/>
    <w:rsid w:val="003B0455"/>
    <w:rsid w:val="003E0AC9"/>
    <w:rsid w:val="00935217"/>
    <w:rsid w:val="009F2548"/>
    <w:rsid w:val="00A25D72"/>
    <w:rsid w:val="00B871B6"/>
    <w:rsid w:val="00F86B37"/>
    <w:rsid w:val="00FE1B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5E4C"/>
  <w15:chartTrackingRefBased/>
  <w15:docId w15:val="{340031F4-11A5-4349-B1D8-C6A19338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0455"/>
    <w:pPr>
      <w:ind w:left="720"/>
      <w:contextualSpacing/>
    </w:pPr>
  </w:style>
  <w:style w:type="paragraph" w:styleId="Brdtekst">
    <w:name w:val="Body Text"/>
    <w:basedOn w:val="Normal"/>
    <w:link w:val="BrdtekstTegn"/>
    <w:uiPriority w:val="1"/>
    <w:qFormat/>
    <w:rsid w:val="003B0455"/>
    <w:pPr>
      <w:autoSpaceDE w:val="0"/>
      <w:autoSpaceDN w:val="0"/>
      <w:adjustRightInd w:val="0"/>
      <w:spacing w:after="0" w:line="258" w:lineRule="exact"/>
      <w:ind w:left="39"/>
    </w:pPr>
    <w:rPr>
      <w:rFonts w:ascii="Times New Roman" w:hAnsi="Times New Roman" w:cs="Times New Roman"/>
      <w:sz w:val="24"/>
      <w:szCs w:val="24"/>
    </w:rPr>
  </w:style>
  <w:style w:type="character" w:customStyle="1" w:styleId="BrdtekstTegn">
    <w:name w:val="Brødtekst Tegn"/>
    <w:basedOn w:val="Standardskrifttypeiafsnit"/>
    <w:link w:val="Brdtekst"/>
    <w:uiPriority w:val="1"/>
    <w:rsid w:val="003B0455"/>
    <w:rPr>
      <w:rFonts w:ascii="Times New Roman" w:hAnsi="Times New Roman" w:cs="Times New Roman"/>
      <w:sz w:val="24"/>
      <w:szCs w:val="24"/>
    </w:rPr>
  </w:style>
  <w:style w:type="paragraph" w:styleId="NormalWeb">
    <w:name w:val="Normal (Web)"/>
    <w:basedOn w:val="Normal"/>
    <w:uiPriority w:val="99"/>
    <w:semiHidden/>
    <w:unhideWhenUsed/>
    <w:rsid w:val="00341A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nt-weight-bold">
    <w:name w:val="font-weight-bold"/>
    <w:basedOn w:val="Standardskrifttypeiafsnit"/>
    <w:rsid w:val="00341AF7"/>
  </w:style>
  <w:style w:type="character" w:styleId="Hyperlink">
    <w:name w:val="Hyperlink"/>
    <w:basedOn w:val="Standardskrifttypeiafsnit"/>
    <w:uiPriority w:val="99"/>
    <w:semiHidden/>
    <w:unhideWhenUsed/>
    <w:rsid w:val="00341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Arbo-Bähr</dc:creator>
  <cp:keywords/>
  <dc:description/>
  <cp:lastModifiedBy>Henrik Arbo-Bähr</cp:lastModifiedBy>
  <cp:revision>2</cp:revision>
  <dcterms:created xsi:type="dcterms:W3CDTF">2021-09-08T09:14:00Z</dcterms:created>
  <dcterms:modified xsi:type="dcterms:W3CDTF">2021-09-08T09:14:00Z</dcterms:modified>
</cp:coreProperties>
</file>